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The Anglican Way: Both/And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i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32"/>
          <w:szCs w:val="32"/>
          <w:rtl w:val="0"/>
        </w:rPr>
        <w:t xml:space="preserve">Group Discussion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1. Unity in diversity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Recall (What did the teaching say?)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Respond (How do you feel about it?)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What are some examples of common stylistic differences you may find in different Anglican congregations?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Has this flexibility seemed disorienting or freeing for your relationship to the church?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Who is Anglicanism’s key founding theologian?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2. A different kind of Reformation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Recall (What did the teaching say?)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Respond (How do you feel about it?)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What were some positive and negative features of the late medieval church?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What historical experience taught the English church that they could take a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8"/>
                <w:szCs w:val="28"/>
                <w:rtl w:val="0"/>
              </w:rPr>
              <w:t xml:space="preserve">via media </w:t>
            </w: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(“middle way”) out of the Catholic / Protestant debates of the 16th century?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Does Anglicanism’s attempt to reconcile the Catholic and Protestant positions feel satisfying to you?  Why or why not?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How did the English church reform in both directions?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Reading –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Read and discuss the Chicago-Lambeth Quadrilateral 1886, 1888 (found in the “Readings” doc).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3. “Both/And”, 4. Application to current challenges, &amp; 5. Three Currents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Recall (What did the teaching say?)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Respond (How do you feel about it?)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How does Anglicanism have a special openness to other traditions today?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How can we practically avoid posturing ourselves as “the one true church”?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What are the “3 streams” in Anglican practice today?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How is each stream represented in your church’s life?  </w:t>
            </w:r>
          </w:p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Which one do you personally identify with most and least?  Has God ever met you in a special way through a stream you’re less familiar with?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